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1CAD" w14:textId="7D9C992E" w:rsidR="00A01B0E" w:rsidRDefault="00A01B0E" w:rsidP="00A0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 July 2021</w:t>
      </w:r>
    </w:p>
    <w:p w14:paraId="5783F9D7" w14:textId="77777777" w:rsidR="00A01B0E" w:rsidRDefault="00A01B0E" w:rsidP="00A01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5A099B6" w14:textId="117B0193" w:rsidR="00D2444B" w:rsidRPr="007F127D" w:rsidRDefault="00D2444B" w:rsidP="00D24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F127D">
        <w:rPr>
          <w:rFonts w:ascii="Arial" w:eastAsia="Times New Roman" w:hAnsi="Arial" w:cs="Arial"/>
          <w:color w:val="000000"/>
          <w:sz w:val="20"/>
          <w:szCs w:val="20"/>
        </w:rPr>
        <w:t>Vice Chairman Oliver Gilbert, III</w:t>
      </w:r>
    </w:p>
    <w:p w14:paraId="2E2EB6CF" w14:textId="77777777" w:rsidR="00A01B0E" w:rsidRPr="007F127D" w:rsidRDefault="00D2444B" w:rsidP="00D2444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2780 NW 167th St</w:t>
      </w:r>
      <w:r w:rsidR="00A01B0E"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reet</w:t>
      </w:r>
    </w:p>
    <w:p w14:paraId="0303EEF5" w14:textId="546ED900" w:rsidR="00D2444B" w:rsidRPr="007F127D" w:rsidRDefault="00D2444B" w:rsidP="00D2444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Opa-locka</w:t>
      </w:r>
      <w:proofErr w:type="spellEnd"/>
      <w:r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, FL 33054</w:t>
      </w:r>
      <w:r w:rsidR="00A01B0E"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-6400</w:t>
      </w:r>
    </w:p>
    <w:p w14:paraId="00EC23E6" w14:textId="7E29D9EF" w:rsidR="00A01B0E" w:rsidRPr="007F127D" w:rsidRDefault="00A01B0E" w:rsidP="00D2444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69AAC8C" w14:textId="3B87AD7E" w:rsidR="00A01B0E" w:rsidRPr="007F127D" w:rsidRDefault="00A01B0E" w:rsidP="00D2444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Dear Commissioner Gilbert:</w:t>
      </w:r>
    </w:p>
    <w:p w14:paraId="5F17821B" w14:textId="23E71CA7" w:rsidR="00A01B0E" w:rsidRPr="007F127D" w:rsidRDefault="00A01B0E" w:rsidP="00D2444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442FA26" w14:textId="48FE559D" w:rsidR="00A01B0E" w:rsidRPr="007F127D" w:rsidRDefault="00A01B0E" w:rsidP="00D24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F127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Thank you for coming to South Miami’s Casa Cuba tomorrow morning.  I wanted to be sure that you had hard copies of maps and numbers I may not be able to show you tomorrow.  In addition, I am copying here an email sent to me by the City of South Miami Planning and Zoning Director:</w:t>
      </w:r>
    </w:p>
    <w:p w14:paraId="25F15F03" w14:textId="7002F00A" w:rsidR="00D2444B" w:rsidRDefault="007F127D" w:rsidP="00D24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ADE4" wp14:editId="5C25F981">
                <wp:simplePos x="0" y="0"/>
                <wp:positionH relativeFrom="column">
                  <wp:posOffset>406886</wp:posOffset>
                </wp:positionH>
                <wp:positionV relativeFrom="paragraph">
                  <wp:posOffset>117247</wp:posOffset>
                </wp:positionV>
                <wp:extent cx="5888911" cy="3701351"/>
                <wp:effectExtent l="0" t="0" r="1714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11" cy="3701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D0FF" id="Rectangle 1" o:spid="_x0000_s1026" style="position:absolute;margin-left:32.05pt;margin-top:9.25pt;width:463.7pt;height:2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0A01FB70" w14:textId="7D20D7C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b/>
          <w:bCs/>
          <w:color w:val="000000"/>
          <w:sz w:val="18"/>
          <w:szCs w:val="18"/>
        </w:rPr>
        <w:t>From: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t> Tompkins, Jane &lt;JTompkins@southmiamifl.gov&gt;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01B0E">
        <w:rPr>
          <w:rFonts w:ascii="Arial" w:eastAsia="Times New Roman" w:hAnsi="Arial" w:cs="Arial"/>
          <w:b/>
          <w:bCs/>
          <w:color w:val="000000"/>
          <w:sz w:val="18"/>
          <w:szCs w:val="18"/>
        </w:rPr>
        <w:t>Sent: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t> Monday, July 12, 2021 11:23 AM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01B0E">
        <w:rPr>
          <w:rFonts w:ascii="Arial" w:eastAsia="Times New Roman" w:hAnsi="Arial" w:cs="Arial"/>
          <w:b/>
          <w:bCs/>
          <w:color w:val="000000"/>
          <w:sz w:val="18"/>
          <w:szCs w:val="18"/>
        </w:rPr>
        <w:t>To: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t> Philips, Sally &lt;SPhilips@southmiamifl.gov&gt;; Shari Kamali &lt;SKamali@southmiamifl.gov&gt;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01B0E">
        <w:rPr>
          <w:rFonts w:ascii="Arial" w:eastAsia="Times New Roman" w:hAnsi="Arial" w:cs="Arial"/>
          <w:b/>
          <w:bCs/>
          <w:color w:val="000000"/>
          <w:sz w:val="18"/>
          <w:szCs w:val="18"/>
        </w:rPr>
        <w:t>Subject: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t> RTZ comparison</w:t>
      </w:r>
    </w:p>
    <w:p w14:paraId="0917A626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14:paraId="6B4DA498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Good morning,</w:t>
      </w:r>
    </w:p>
    <w:p w14:paraId="1CB03C2E" w14:textId="604071ED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</w:p>
    <w:p w14:paraId="300165FC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 xml:space="preserve">I was able to use Google Earth to measure the size of different areas of the city that would be impacted by the proposed </w:t>
      </w:r>
      <w:proofErr w:type="gramStart"/>
      <w:r w:rsidRPr="00A01B0E">
        <w:rPr>
          <w:rFonts w:ascii="Arial" w:eastAsia="Times New Roman" w:hAnsi="Arial" w:cs="Arial"/>
          <w:color w:val="000000"/>
          <w:sz w:val="18"/>
          <w:szCs w:val="18"/>
        </w:rPr>
        <w:t>RTZ, and</w:t>
      </w:r>
      <w:proofErr w:type="gramEnd"/>
      <w:r w:rsidRPr="00A01B0E">
        <w:rPr>
          <w:rFonts w:ascii="Arial" w:eastAsia="Times New Roman" w:hAnsi="Arial" w:cs="Arial"/>
          <w:color w:val="000000"/>
          <w:sz w:val="18"/>
          <w:szCs w:val="18"/>
        </w:rPr>
        <w:t xml:space="preserve"> compare the potential impacts in terms of number of dwelling units and population. My numbers aren’t exact because I used gross acreage, but this is a pretty good comparison, I believe:</w:t>
      </w:r>
    </w:p>
    <w:p w14:paraId="40B25401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44D93F1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              Total number of units within ½ mile of Metrorail under the proposed RTZ:           28,528</w:t>
      </w:r>
    </w:p>
    <w:p w14:paraId="7F313567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              Total population within ½ mile of Metrorail under the proposed RTZ:                   70,175</w:t>
      </w:r>
    </w:p>
    <w:p w14:paraId="1DDA9ABE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66F3B45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              Versus</w:t>
      </w:r>
    </w:p>
    <w:p w14:paraId="5441B483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7B6D563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              Total number of units within ½ mile of Metrorail under City zoning*:                       6,770</w:t>
      </w:r>
    </w:p>
    <w:p w14:paraId="3C2521F7" w14:textId="1A545DA8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 Total population within ½ mile of Metrorail under City zoning:                              </w:t>
      </w:r>
      <w:r w:rsidR="007F12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01B0E">
        <w:rPr>
          <w:rFonts w:ascii="Arial" w:eastAsia="Times New Roman" w:hAnsi="Arial" w:cs="Arial"/>
          <w:color w:val="000000"/>
          <w:sz w:val="18"/>
          <w:szCs w:val="18"/>
        </w:rPr>
        <w:t>16,654</w:t>
      </w:r>
    </w:p>
    <w:p w14:paraId="7794C2E4" w14:textId="77777777" w:rsidR="00D2444B" w:rsidRPr="00A01B0E" w:rsidRDefault="00D2444B" w:rsidP="007F127D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*Based on minimum lot sizes and gross acreage; also, for the Shops and Winn Dixie, I used the number of units approved.</w:t>
      </w:r>
    </w:p>
    <w:p w14:paraId="21058D95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D153E34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The proposed ordinance also includes standards for properties between ½ mile and 1 miles of the Metrorail, but I haven’t had time to do those calculations.</w:t>
      </w:r>
    </w:p>
    <w:p w14:paraId="6300501E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E0E7939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</w:rPr>
        <w:t>Regards,</w:t>
      </w:r>
    </w:p>
    <w:p w14:paraId="5694F12D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A01B0E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</w:rPr>
        <w:t> </w:t>
      </w:r>
    </w:p>
    <w:p w14:paraId="2AF53765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Jane K. Tompkins, AICP</w:t>
      </w:r>
    </w:p>
    <w:p w14:paraId="1C5AF4B0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Planning and Zoning Director</w:t>
      </w:r>
    </w:p>
    <w:p w14:paraId="595024B5" w14:textId="77777777" w:rsidR="00D2444B" w:rsidRPr="00A01B0E" w:rsidRDefault="00D2444B" w:rsidP="007F127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01B0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Phone 305.663.6327</w:t>
      </w:r>
    </w:p>
    <w:p w14:paraId="1F2CE720" w14:textId="77777777" w:rsidR="007F127D" w:rsidRDefault="007F127D" w:rsidP="007F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55E29" w14:textId="3199A829" w:rsidR="007F127D" w:rsidRDefault="007F127D" w:rsidP="007F127D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7F127D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7F127D">
        <w:rPr>
          <w:rFonts w:ascii="Arial" w:hAnsi="Arial" w:cs="Arial"/>
          <w:sz w:val="20"/>
          <w:szCs w:val="20"/>
        </w:rPr>
        <w:t>Ms</w:t>
      </w:r>
      <w:proofErr w:type="spellEnd"/>
      <w:r w:rsidRPr="007F127D">
        <w:rPr>
          <w:rFonts w:ascii="Arial" w:hAnsi="Arial" w:cs="Arial"/>
          <w:sz w:val="20"/>
          <w:szCs w:val="20"/>
        </w:rPr>
        <w:t xml:space="preserve"> Tompkins’ calculations, a fully built out RTZ would be more than 4 times as dense as South </w:t>
      </w:r>
      <w:r>
        <w:rPr>
          <w:rFonts w:ascii="Arial" w:hAnsi="Arial" w:cs="Arial"/>
          <w:sz w:val="20"/>
          <w:szCs w:val="20"/>
        </w:rPr>
        <w:t>Miami’s</w:t>
      </w:r>
      <w:r w:rsidRPr="007F127D">
        <w:rPr>
          <w:rFonts w:ascii="Arial" w:hAnsi="Arial" w:cs="Arial"/>
          <w:sz w:val="20"/>
          <w:szCs w:val="20"/>
        </w:rPr>
        <w:t xml:space="preserve"> current zoning.</w:t>
      </w:r>
      <w:r>
        <w:rPr>
          <w:rFonts w:ascii="Arial" w:hAnsi="Arial" w:cs="Arial"/>
          <w:sz w:val="20"/>
          <w:szCs w:val="20"/>
        </w:rPr>
        <w:t xml:space="preserve">  She also stated:  </w:t>
      </w:r>
      <w:r w:rsidRPr="007F127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"I would be very curious how the County expects any sort of acceptable services levels will be maintained for water, sewer, parks, etc. Our park standard is 4 acres per 1,000 population, which, I think, is a common standard in the area. How could this be maintained?"</w:t>
      </w:r>
    </w:p>
    <w:p w14:paraId="6ED4F439" w14:textId="7AAA2BE9" w:rsidR="007F127D" w:rsidRDefault="007F127D" w:rsidP="007F127D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6D637790" w14:textId="72E8B282" w:rsidR="007F127D" w:rsidRDefault="007F127D" w:rsidP="007F127D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I sincerely hope that the RTZ proposal is significantly revised.  The City of South Miami has zoned for increased density around its Metrorail station.  I </w:t>
      </w:r>
      <w:r w:rsidR="001E6D2C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wonder about the need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to impose </w:t>
      </w:r>
      <w:r w:rsidR="001E6D2C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so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drastic a zoning scheme as has been proposed.</w:t>
      </w:r>
    </w:p>
    <w:p w14:paraId="2087014D" w14:textId="76499F3E" w:rsidR="007F127D" w:rsidRDefault="007F127D" w:rsidP="007F127D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198E99EC" w14:textId="328B6A0D" w:rsidR="001E6D2C" w:rsidRPr="00651D74" w:rsidRDefault="007F127D" w:rsidP="00651D74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Thank you for your </w:t>
      </w:r>
      <w:r w:rsidR="001E6D2C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considerate attention.</w:t>
      </w:r>
    </w:p>
    <w:p w14:paraId="2EC67B03" w14:textId="0F69DFE9" w:rsidR="001E6D2C" w:rsidRDefault="001E6D2C" w:rsidP="001E6D2C">
      <w:pPr>
        <w:spacing w:after="0" w:line="240" w:lineRule="auto"/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sectPr w:rsidR="001E6D2C" w:rsidSect="001E6D2C">
      <w:pgSz w:w="12240" w:h="15840" w:code="1"/>
      <w:pgMar w:top="3888" w:right="1008" w:bottom="432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4B"/>
    <w:rsid w:val="001E6D2C"/>
    <w:rsid w:val="00651D74"/>
    <w:rsid w:val="007F127D"/>
    <w:rsid w:val="00A01B0E"/>
    <w:rsid w:val="00D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D68E"/>
  <w15:chartTrackingRefBased/>
  <w15:docId w15:val="{269FFEE1-118C-4FFF-B220-4EC4AF9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Philips</dc:creator>
  <cp:keywords/>
  <dc:description/>
  <cp:lastModifiedBy>Sally Philips</cp:lastModifiedBy>
  <cp:revision>1</cp:revision>
  <cp:lastPrinted>2021-07-12T18:40:00Z</cp:lastPrinted>
  <dcterms:created xsi:type="dcterms:W3CDTF">2021-07-12T18:02:00Z</dcterms:created>
  <dcterms:modified xsi:type="dcterms:W3CDTF">2021-07-12T18:50:00Z</dcterms:modified>
</cp:coreProperties>
</file>